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7323" w14:textId="77777777" w:rsidR="004A246A" w:rsidRDefault="004A246A" w:rsidP="00D01482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040" w:hanging="1950"/>
        <w:jc w:val="center"/>
        <w:rPr>
          <w:rFonts w:asciiTheme="minorEastAsia" w:hAnsiTheme="minorEastAsia"/>
          <w:b/>
          <w:sz w:val="28"/>
          <w:szCs w:val="28"/>
        </w:rPr>
      </w:pPr>
    </w:p>
    <w:p w14:paraId="19676EE7" w14:textId="2164DC00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040" w:hanging="1950"/>
        <w:jc w:val="center"/>
        <w:rPr>
          <w:rFonts w:asciiTheme="minorEastAsia" w:hAnsiTheme="minorEastAsia"/>
          <w:b/>
          <w:sz w:val="28"/>
          <w:szCs w:val="28"/>
        </w:rPr>
      </w:pPr>
      <w:r w:rsidRPr="003A59C1">
        <w:rPr>
          <w:rFonts w:asciiTheme="minorEastAsia" w:hAnsiTheme="minorEastAsia" w:hint="eastAsia"/>
          <w:b/>
          <w:sz w:val="28"/>
          <w:szCs w:val="28"/>
        </w:rPr>
        <w:t>加州大学伯克利分校人文社科学院</w:t>
      </w:r>
      <w:r w:rsidR="006A04DC" w:rsidRPr="003A59C1">
        <w:rPr>
          <w:rFonts w:asciiTheme="minorEastAsia" w:hAnsiTheme="minorEastAsia" w:hint="eastAsia"/>
          <w:b/>
          <w:sz w:val="28"/>
          <w:szCs w:val="28"/>
        </w:rPr>
        <w:t>在线学分</w:t>
      </w:r>
      <w:r w:rsidRPr="003A59C1">
        <w:rPr>
          <w:rFonts w:asciiTheme="minorEastAsia" w:hAnsiTheme="minorEastAsia" w:hint="eastAsia"/>
          <w:b/>
          <w:sz w:val="28"/>
          <w:szCs w:val="28"/>
        </w:rPr>
        <w:t>交流项目</w:t>
      </w:r>
    </w:p>
    <w:p w14:paraId="30164FC9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b/>
        </w:rPr>
      </w:pPr>
    </w:p>
    <w:p w14:paraId="62FFB0E0" w14:textId="77777777" w:rsidR="006A04DC" w:rsidRPr="003A59C1" w:rsidRDefault="006A04DC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b/>
        </w:rPr>
      </w:pPr>
      <w:r w:rsidRPr="003A59C1">
        <w:rPr>
          <w:rFonts w:asciiTheme="minorEastAsia" w:hAnsiTheme="minorEastAsia"/>
        </w:rPr>
        <w:t xml:space="preserve">         2020</w:t>
      </w:r>
      <w:r w:rsidRPr="003A59C1">
        <w:rPr>
          <w:rFonts w:asciiTheme="minorEastAsia" w:hAnsiTheme="minorEastAsia" w:hint="eastAsia"/>
        </w:rPr>
        <w:t>年秋季，SAF和加州大学伯克利分校人文社科学院联合为学生提供在线学分项目。学生可以选修3-</w:t>
      </w:r>
      <w:r w:rsidRPr="003A59C1">
        <w:rPr>
          <w:rFonts w:asciiTheme="minorEastAsia" w:hAnsiTheme="minorEastAsia"/>
        </w:rPr>
        <w:t>12</w:t>
      </w:r>
      <w:r w:rsidRPr="003A59C1">
        <w:rPr>
          <w:rFonts w:asciiTheme="minorEastAsia" w:hAnsiTheme="minorEastAsia" w:hint="eastAsia"/>
        </w:rPr>
        <w:t>学分的加州大学伯克利分校课程，作为加州大学伯克利分校注册学生和当地学生同堂上课，学习专业知识。同时SAF也为同学们准备了丰富多彩的B</w:t>
      </w:r>
      <w:r w:rsidRPr="003A59C1">
        <w:rPr>
          <w:rFonts w:asciiTheme="minorEastAsia" w:hAnsiTheme="minorEastAsia"/>
        </w:rPr>
        <w:t>eyond Classroom</w:t>
      </w:r>
      <w:r w:rsidRPr="003A59C1">
        <w:rPr>
          <w:rFonts w:asciiTheme="minorEastAsia" w:hAnsiTheme="minorEastAsia" w:hint="eastAsia"/>
        </w:rPr>
        <w:t>系列活动，帮助同学足不出户即可和SAF美国老师们深入探讨西方文化的方方面面。项目具体信息如下：</w:t>
      </w:r>
    </w:p>
    <w:p w14:paraId="06317FEF" w14:textId="77777777" w:rsidR="006A04DC" w:rsidRPr="003A59C1" w:rsidRDefault="006A04DC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b/>
        </w:rPr>
      </w:pPr>
    </w:p>
    <w:p w14:paraId="34059F49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20"/>
        <w:outlineLvl w:val="0"/>
        <w:rPr>
          <w:rFonts w:asciiTheme="minorEastAsia" w:hAnsiTheme="minorEastAsia" w:cs="Times New Roman"/>
          <w:b/>
        </w:rPr>
      </w:pPr>
      <w:r w:rsidRPr="003A59C1">
        <w:rPr>
          <w:rFonts w:asciiTheme="minorEastAsia" w:hAnsiTheme="minorEastAsia" w:cs="Times New Roman" w:hint="eastAsia"/>
          <w:b/>
        </w:rPr>
        <w:t>一、学校介绍</w:t>
      </w:r>
    </w:p>
    <w:p w14:paraId="56BC747B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Theme="minorEastAsia" w:hAnsiTheme="minorEastAsia"/>
          <w:b/>
        </w:rPr>
      </w:pPr>
    </w:p>
    <w:p w14:paraId="16CD7F08" w14:textId="77777777" w:rsidR="00A94FB6" w:rsidRPr="003A59C1" w:rsidRDefault="006A04DC" w:rsidP="00D01482">
      <w:pPr>
        <w:pStyle w:val="a7"/>
        <w:kinsoku w:val="0"/>
        <w:overflowPunct w:val="0"/>
        <w:spacing w:before="91"/>
        <w:ind w:left="120" w:hanging="1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     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加州大学伯克利分校成立于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1868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年，是美国著名的公立研究型大学，也是世界级顶尖名校之一，位于加利福尼亚州拥有百年历史的小城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>-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伯克利市。该校是加州公立大学系统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10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所分校中最古老的一所，也是美国大学协会（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>Association of American Universities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）的创始会员之一。其图书馆共有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3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座主图书馆、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24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座分科图书馆及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11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座附属图书馆，藏书超过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1,000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万册，是北美地区第四大的图书馆。伯克利学术研究水平非常坚厚，拥有全美最多数量的顶级专业，学校历史上共有诺贝尔奖得主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66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名，</w:t>
      </w:r>
      <w:hyperlink r:id="rId7" w:history="1">
        <w:r w:rsidR="00A94FB6" w:rsidRPr="003A59C1">
          <w:rPr>
            <w:rFonts w:asciiTheme="minorEastAsia" w:eastAsiaTheme="minorEastAsia" w:hAnsiTheme="minorEastAsia" w:hint="eastAsia"/>
            <w:spacing w:val="-7"/>
            <w:sz w:val="22"/>
            <w:szCs w:val="22"/>
          </w:rPr>
          <w:t>图灵奖</w:t>
        </w:r>
      </w:hyperlink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得主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15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名，菲尔兹奖得主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7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名，麦克阿瑟奖得主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45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名，普利策新闻奖得主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11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名。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6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种化学元素为伯克利科研人员发现，其中的</w:t>
      </w:r>
      <w:hyperlink r:id="rId8" w:history="1">
        <w:r w:rsidR="00A94FB6" w:rsidRPr="003A59C1">
          <w:rPr>
            <w:rFonts w:asciiTheme="minorEastAsia" w:eastAsiaTheme="minorEastAsia" w:hAnsiTheme="minorEastAsia" w:hint="eastAsia"/>
            <w:spacing w:val="-7"/>
            <w:sz w:val="22"/>
            <w:szCs w:val="22"/>
          </w:rPr>
          <w:t>鉳</w:t>
        </w:r>
      </w:hyperlink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(Berkelium)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更以伯克利命名。伯克利每年培养的杰出人才在过去的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100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多年来，为美国社会及世界做出了杰出贡献。在其所拥有的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100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多个子学科里，有众多世界级的学术大师，教授中有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136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位美国科学院</w:t>
      </w:r>
      <w:hyperlink r:id="rId9" w:history="1">
        <w:r w:rsidR="00A94FB6" w:rsidRPr="003A59C1">
          <w:rPr>
            <w:rFonts w:asciiTheme="minorEastAsia" w:eastAsiaTheme="minorEastAsia" w:hAnsiTheme="minorEastAsia" w:hint="eastAsia"/>
            <w:spacing w:val="-7"/>
            <w:sz w:val="22"/>
            <w:szCs w:val="22"/>
          </w:rPr>
          <w:t>院士</w:t>
        </w:r>
      </w:hyperlink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，和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 xml:space="preserve"> 91 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位美国工程院院士。该校与斯坦福、哈佛、麻省理工一起，被誉为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>“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美国社会不朽的学术四脊梁</w:t>
      </w:r>
      <w:r w:rsidR="00A94FB6" w:rsidRPr="003A59C1">
        <w:rPr>
          <w:rFonts w:asciiTheme="minorEastAsia" w:eastAsiaTheme="minorEastAsia" w:hAnsiTheme="minorEastAsia"/>
          <w:spacing w:val="-7"/>
          <w:sz w:val="22"/>
          <w:szCs w:val="22"/>
        </w:rPr>
        <w:t>”</w:t>
      </w:r>
      <w:r w:rsidR="00A94FB6"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。</w:t>
      </w:r>
    </w:p>
    <w:p w14:paraId="648F2268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Theme="minorEastAsia" w:hAnsiTheme="minorEastAsia"/>
        </w:rPr>
      </w:pPr>
    </w:p>
    <w:p w14:paraId="6227DB14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2" w:right="6840" w:hanging="423"/>
        <w:rPr>
          <w:rFonts w:asciiTheme="minorEastAsia" w:hAnsiTheme="minorEastAsia"/>
          <w:b/>
        </w:rPr>
      </w:pPr>
      <w:r w:rsidRPr="003A59C1">
        <w:rPr>
          <w:rFonts w:asciiTheme="minorEastAsia" w:hAnsiTheme="minorEastAsia" w:hint="eastAsia"/>
          <w:b/>
        </w:rPr>
        <w:t>二．</w:t>
      </w:r>
      <w:r w:rsidRPr="003A59C1">
        <w:rPr>
          <w:rFonts w:asciiTheme="minorEastAsia" w:hAnsiTheme="minorEastAsia"/>
          <w:b/>
        </w:rPr>
        <w:t xml:space="preserve"> </w:t>
      </w:r>
      <w:r w:rsidRPr="003A59C1">
        <w:rPr>
          <w:rFonts w:asciiTheme="minorEastAsia" w:hAnsiTheme="minorEastAsia" w:hint="eastAsia"/>
          <w:b/>
        </w:rPr>
        <w:t>大学排名专业排名</w:t>
      </w:r>
    </w:p>
    <w:p w14:paraId="2E0C6C4D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 w:right="7498"/>
        <w:rPr>
          <w:rFonts w:asciiTheme="minorEastAsia" w:hAnsiTheme="minorEastAsia"/>
        </w:rPr>
      </w:pPr>
      <w:r w:rsidRPr="003A59C1">
        <w:rPr>
          <w:rFonts w:asciiTheme="minorEastAsia" w:hAnsiTheme="minorEastAsia" w:hint="eastAsia"/>
        </w:rPr>
        <w:t>综合排名</w:t>
      </w:r>
    </w:p>
    <w:p w14:paraId="2DA39E3D" w14:textId="77777777" w:rsidR="00A94FB6" w:rsidRPr="003A59C1" w:rsidRDefault="00A94FB6" w:rsidP="006A04DC">
      <w:pPr>
        <w:pStyle w:val="a7"/>
        <w:numPr>
          <w:ilvl w:val="0"/>
          <w:numId w:val="12"/>
        </w:num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/>
          <w:sz w:val="22"/>
          <w:szCs w:val="22"/>
        </w:rPr>
        <w:t>2020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U.S. News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 xml:space="preserve">全美公立大学第 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2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78FA62F2" w14:textId="77777777" w:rsidR="006A04DC" w:rsidRPr="003A59C1" w:rsidRDefault="006A04DC" w:rsidP="006A04DC">
      <w:pPr>
        <w:pStyle w:val="a7"/>
        <w:numPr>
          <w:ilvl w:val="0"/>
          <w:numId w:val="12"/>
        </w:num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/>
          <w:sz w:val="22"/>
          <w:szCs w:val="22"/>
        </w:rPr>
        <w:t>2020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年U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.S. News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全美大学综合排名第 2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38B2E77C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543" w:right="4591" w:hanging="1"/>
        <w:rPr>
          <w:rFonts w:asciiTheme="minorEastAsia" w:hAnsiTheme="minorEastAsia"/>
        </w:rPr>
      </w:pPr>
      <w:r w:rsidRPr="003A59C1">
        <w:rPr>
          <w:rFonts w:asciiTheme="minorEastAsia" w:hAnsiTheme="minorEastAsia" w:hint="eastAsia"/>
        </w:rPr>
        <w:t>专业排名</w:t>
      </w:r>
    </w:p>
    <w:p w14:paraId="42674668" w14:textId="77777777" w:rsidR="00A94FB6" w:rsidRPr="003A59C1" w:rsidRDefault="00A94FB6" w:rsidP="006A04DC">
      <w:pPr>
        <w:pStyle w:val="aa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美国大学最佳工程学院</w:t>
      </w:r>
      <w:r w:rsidRPr="003A59C1">
        <w:rPr>
          <w:rFonts w:asciiTheme="minorEastAsia" w:eastAsiaTheme="minorEastAsia" w:hAnsiTheme="minorEastAsia"/>
          <w:sz w:val="22"/>
          <w:szCs w:val="22"/>
        </w:rPr>
        <w:t>(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研究生院</w:t>
      </w:r>
      <w:r w:rsidRPr="003A59C1">
        <w:rPr>
          <w:rFonts w:asciiTheme="minorEastAsia" w:eastAsiaTheme="minorEastAsia" w:hAnsiTheme="minorEastAsia"/>
          <w:sz w:val="22"/>
          <w:szCs w:val="22"/>
        </w:rPr>
        <w:t>)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排名第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3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0F04CCC4" w14:textId="77777777" w:rsidR="00A94FB6" w:rsidRPr="003A59C1" w:rsidRDefault="00A94FB6" w:rsidP="006A04DC">
      <w:pPr>
        <w:pStyle w:val="aa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91" w:after="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美国大学最佳商学院</w:t>
      </w:r>
      <w:r w:rsidRPr="003A59C1">
        <w:rPr>
          <w:rFonts w:asciiTheme="minorEastAsia" w:eastAsiaTheme="minorEastAsia" w:hAnsiTheme="minorEastAsia"/>
          <w:sz w:val="22"/>
          <w:szCs w:val="22"/>
        </w:rPr>
        <w:t>(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研究生院</w:t>
      </w:r>
      <w:r w:rsidRPr="003A59C1">
        <w:rPr>
          <w:rFonts w:asciiTheme="minorEastAsia" w:eastAsiaTheme="minorEastAsia" w:hAnsiTheme="minorEastAsia"/>
          <w:sz w:val="22"/>
          <w:szCs w:val="22"/>
        </w:rPr>
        <w:t>)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排名第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7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6302B88" w14:textId="77777777" w:rsidR="00A94FB6" w:rsidRPr="003A59C1" w:rsidRDefault="00A94FB6" w:rsidP="006A04DC">
      <w:pPr>
        <w:pStyle w:val="aa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91" w:after="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美国大学地理信息科学第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4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102E051" w14:textId="77777777" w:rsidR="00A94FB6" w:rsidRPr="003A59C1" w:rsidRDefault="00A94FB6" w:rsidP="006A04DC">
      <w:pPr>
        <w:pStyle w:val="aa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美国大学心理学第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10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26644A16" w14:textId="77777777" w:rsidR="00A94FB6" w:rsidRPr="003A59C1" w:rsidRDefault="00A94FB6" w:rsidP="006A04DC">
      <w:pPr>
        <w:pStyle w:val="aa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71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美国大学土木工程专业、环境与环境卫生工程专业、材料工程、化学工程、计算机工程、电子电气电子通讯工程等多个专业研究生排名前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5 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1BBFA18" w14:textId="77777777" w:rsidR="007B29E1" w:rsidRPr="003A59C1" w:rsidRDefault="007B29E1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EastAsia" w:hAnsiTheme="minorEastAsia"/>
        </w:rPr>
      </w:pPr>
    </w:p>
    <w:p w14:paraId="6376509F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Theme="minorEastAsia" w:hAnsiTheme="minorEastAsia" w:cs="Times New Roman"/>
          <w:b/>
        </w:rPr>
      </w:pPr>
      <w:r w:rsidRPr="003A59C1">
        <w:rPr>
          <w:rFonts w:asciiTheme="minorEastAsia" w:hAnsiTheme="minorEastAsia" w:cs="Times New Roman" w:hint="eastAsia"/>
          <w:b/>
        </w:rPr>
        <w:t>三．</w:t>
      </w:r>
      <w:r w:rsidRPr="003A59C1">
        <w:rPr>
          <w:rFonts w:asciiTheme="minorEastAsia" w:hAnsiTheme="minorEastAsia" w:cs="Times New Roman"/>
          <w:b/>
        </w:rPr>
        <w:t xml:space="preserve"> </w:t>
      </w:r>
      <w:r w:rsidRPr="003A59C1">
        <w:rPr>
          <w:rFonts w:asciiTheme="minorEastAsia" w:hAnsiTheme="minorEastAsia" w:cs="Times New Roman" w:hint="eastAsia"/>
          <w:b/>
        </w:rPr>
        <w:t>项目优势</w:t>
      </w:r>
    </w:p>
    <w:p w14:paraId="4CFFBECD" w14:textId="77777777" w:rsidR="00A94FB6" w:rsidRPr="003A59C1" w:rsidRDefault="00A94FB6" w:rsidP="00D0148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Theme="minorEastAsia" w:hAnsiTheme="minorEastAsia"/>
          <w:b/>
        </w:rPr>
      </w:pPr>
    </w:p>
    <w:p w14:paraId="0A478C8D" w14:textId="77777777" w:rsidR="00471117" w:rsidRPr="003A59C1" w:rsidRDefault="00471117" w:rsidP="00D01482">
      <w:pPr>
        <w:pStyle w:val="aa"/>
        <w:widowControl w:val="0"/>
        <w:numPr>
          <w:ilvl w:val="0"/>
          <w:numId w:val="3"/>
        </w:numPr>
        <w:spacing w:after="210" w:line="240" w:lineRule="auto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同学将作为UC Berkeley学生注册，从师于世界顶级学者，与美国当地及其他国际学生一起在线进行专业课学习；</w:t>
      </w:r>
    </w:p>
    <w:p w14:paraId="75E7BB09" w14:textId="77777777" w:rsidR="00471117" w:rsidRPr="003A59C1" w:rsidRDefault="00471117" w:rsidP="00D01482">
      <w:pPr>
        <w:pStyle w:val="aa"/>
        <w:widowControl w:val="0"/>
        <w:numPr>
          <w:ilvl w:val="0"/>
          <w:numId w:val="3"/>
        </w:numPr>
        <w:spacing w:after="210" w:line="240" w:lineRule="auto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同学将全面享有UC Berkeley各类校内线上资源，如学生账号、图书馆资源等；</w:t>
      </w:r>
    </w:p>
    <w:p w14:paraId="55FF42DA" w14:textId="77777777" w:rsidR="00471117" w:rsidRPr="003A59C1" w:rsidRDefault="00471117" w:rsidP="00D01482">
      <w:pPr>
        <w:pStyle w:val="aa"/>
        <w:widowControl w:val="0"/>
        <w:numPr>
          <w:ilvl w:val="0"/>
          <w:numId w:val="3"/>
        </w:numPr>
        <w:spacing w:after="210" w:line="240" w:lineRule="auto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可在线修读UC Berkeley专业学分课程并获得官方正式成绩单及相应学分，更有机会获得UC Berkeley教授的推荐信，为之后申研、就业助力；</w:t>
      </w:r>
    </w:p>
    <w:p w14:paraId="3CB48554" w14:textId="77777777" w:rsidR="00471117" w:rsidRPr="003A59C1" w:rsidRDefault="003529AC" w:rsidP="00D01482">
      <w:pPr>
        <w:pStyle w:val="aa"/>
        <w:widowControl w:val="0"/>
        <w:numPr>
          <w:ilvl w:val="0"/>
          <w:numId w:val="4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录制课程</w:t>
      </w:r>
      <w:r w:rsidRPr="003A59C1">
        <w:rPr>
          <w:rFonts w:asciiTheme="minorEastAsia" w:eastAsiaTheme="minorEastAsia" w:hAnsiTheme="minorEastAsia" w:hint="eastAsia"/>
          <w:spacing w:val="-7"/>
          <w:kern w:val="0"/>
          <w:sz w:val="22"/>
          <w:szCs w:val="22"/>
          <w:lang w:eastAsia="zh-CN"/>
        </w:rPr>
        <w:t>与</w:t>
      </w:r>
      <w:r w:rsidR="00471117"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实时在线课程与相结合</w:t>
      </w:r>
      <w:r w:rsidRPr="003A59C1">
        <w:rPr>
          <w:rFonts w:asciiTheme="minorEastAsia" w:eastAsiaTheme="minorEastAsia" w:hAnsiTheme="minorEastAsia" w:hint="eastAsia"/>
          <w:spacing w:val="-7"/>
          <w:kern w:val="0"/>
          <w:sz w:val="22"/>
          <w:szCs w:val="22"/>
          <w:lang w:eastAsia="zh-CN"/>
        </w:rPr>
        <w:t>，</w:t>
      </w:r>
      <w:r w:rsidR="00471117" w:rsidRPr="003A59C1">
        <w:rPr>
          <w:rFonts w:asciiTheme="minorEastAsia" w:eastAsiaTheme="minorEastAsia" w:hAnsiTheme="minorEastAsia" w:hint="eastAsia"/>
          <w:spacing w:val="-7"/>
          <w:kern w:val="0"/>
          <w:sz w:val="22"/>
          <w:szCs w:val="22"/>
          <w:lang w:eastAsia="zh-CN"/>
        </w:rPr>
        <w:t>同学们可根据自己的时间选择合适的课程进行学习。</w:t>
      </w:r>
    </w:p>
    <w:p w14:paraId="746BC313" w14:textId="77777777" w:rsidR="00471117" w:rsidRPr="003A59C1" w:rsidRDefault="00471117" w:rsidP="00D01482">
      <w:pPr>
        <w:pStyle w:val="aa"/>
        <w:widowControl w:val="0"/>
        <w:numPr>
          <w:ilvl w:val="0"/>
          <w:numId w:val="4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申请条件灵活，可接收Duolingo、iTEP，或大学英语四六级、专业英语四级成绩等；</w:t>
      </w:r>
    </w:p>
    <w:p w14:paraId="6527AEC1" w14:textId="77777777" w:rsidR="00471117" w:rsidRPr="003A59C1" w:rsidRDefault="00471117" w:rsidP="00D01482">
      <w:pPr>
        <w:pStyle w:val="aa"/>
        <w:widowControl w:val="0"/>
        <w:numPr>
          <w:ilvl w:val="0"/>
          <w:numId w:val="4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t>海外学习交流成本大幅降低。同学无需办理赴美签证，无需承担海外学习交流的住宿、保险及生活费，大大降低了海外学习交流的成本，减轻了家庭的经济负担；</w:t>
      </w:r>
    </w:p>
    <w:p w14:paraId="3E680FE2" w14:textId="77777777" w:rsidR="00471117" w:rsidRPr="003A59C1" w:rsidRDefault="00471117" w:rsidP="00D01482">
      <w:pPr>
        <w:pStyle w:val="aa"/>
        <w:widowControl w:val="0"/>
        <w:numPr>
          <w:ilvl w:val="0"/>
          <w:numId w:val="4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</w:pPr>
      <w:r w:rsidRPr="003A59C1">
        <w:rPr>
          <w:rFonts w:asciiTheme="minorEastAsia" w:eastAsiaTheme="minorEastAsia" w:hAnsiTheme="minorEastAsia"/>
          <w:spacing w:val="-7"/>
          <w:kern w:val="0"/>
          <w:sz w:val="22"/>
          <w:szCs w:val="22"/>
          <w:lang w:eastAsia="zh-CN"/>
        </w:rPr>
        <w:lastRenderedPageBreak/>
        <w:t>SAF 为学生提供从咨询、申请、在线课程注册、在线新生培训及跨文化讲座、在线课程支持等全程完善的服务，妥善解决学生和家长的后顾之忧；</w:t>
      </w:r>
    </w:p>
    <w:p w14:paraId="39362EEA" w14:textId="77777777" w:rsidR="00A94FB6" w:rsidRPr="003A59C1" w:rsidRDefault="00A94FB6" w:rsidP="00D01482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73"/>
        <w:jc w:val="both"/>
        <w:rPr>
          <w:rFonts w:asciiTheme="minorEastAsia" w:hAnsiTheme="minorEastAsia" w:cs="Times New Roman"/>
          <w:spacing w:val="-7"/>
        </w:rPr>
      </w:pPr>
    </w:p>
    <w:p w14:paraId="6EB28A5E" w14:textId="77777777" w:rsidR="00471117" w:rsidRPr="003A59C1" w:rsidRDefault="00471117" w:rsidP="00D01482">
      <w:pPr>
        <w:pStyle w:val="1"/>
        <w:tabs>
          <w:tab w:val="left" w:pos="959"/>
        </w:tabs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四、项目内容</w:t>
      </w:r>
    </w:p>
    <w:p w14:paraId="52731D4D" w14:textId="77777777" w:rsidR="00471117" w:rsidRPr="003A59C1" w:rsidRDefault="00471117" w:rsidP="00D01482">
      <w:pPr>
        <w:pStyle w:val="a7"/>
        <w:kinsoku w:val="0"/>
        <w:overflowPunct w:val="0"/>
        <w:rPr>
          <w:rFonts w:asciiTheme="minorEastAsia" w:eastAsiaTheme="minorEastAsia" w:hAnsiTheme="minorEastAsia"/>
          <w:b/>
          <w:sz w:val="22"/>
          <w:szCs w:val="22"/>
        </w:rPr>
      </w:pPr>
    </w:p>
    <w:p w14:paraId="2537F535" w14:textId="77777777" w:rsidR="00471117" w:rsidRPr="003A59C1" w:rsidRDefault="00471117" w:rsidP="00D01482">
      <w:pPr>
        <w:pStyle w:val="aa"/>
        <w:widowControl w:val="0"/>
        <w:numPr>
          <w:ilvl w:val="0"/>
          <w:numId w:val="5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0" w:right="215"/>
        <w:contextualSpacing w:val="0"/>
        <w:jc w:val="both"/>
        <w:rPr>
          <w:rFonts w:asciiTheme="minorEastAsia" w:eastAsiaTheme="minorEastAsia" w:hAnsiTheme="minorEastAsia"/>
          <w:spacing w:val="-5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项目时间：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2</w:t>
      </w:r>
      <w:r w:rsidR="006A04DC" w:rsidRPr="003A59C1">
        <w:rPr>
          <w:rFonts w:asciiTheme="minorEastAsia" w:eastAsiaTheme="minorEastAsia" w:hAnsiTheme="minorEastAsia"/>
          <w:spacing w:val="-7"/>
          <w:sz w:val="22"/>
          <w:szCs w:val="22"/>
          <w:lang w:eastAsia="zh-CN"/>
        </w:rPr>
        <w:t>020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年</w:t>
      </w: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 xml:space="preserve">秋季学期 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（2</w:t>
      </w:r>
      <w:r w:rsidR="006A04DC" w:rsidRPr="003A59C1">
        <w:rPr>
          <w:rFonts w:asciiTheme="minorEastAsia" w:eastAsiaTheme="minorEastAsia" w:hAnsiTheme="minorEastAsia"/>
          <w:spacing w:val="-7"/>
          <w:sz w:val="22"/>
          <w:szCs w:val="22"/>
          <w:lang w:eastAsia="zh-CN"/>
        </w:rPr>
        <w:t>020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年8月-</w:t>
      </w:r>
      <w:r w:rsidR="006A04DC" w:rsidRPr="003A59C1">
        <w:rPr>
          <w:rFonts w:asciiTheme="minorEastAsia" w:eastAsiaTheme="minorEastAsia" w:hAnsiTheme="minorEastAsia"/>
          <w:spacing w:val="-7"/>
          <w:sz w:val="22"/>
          <w:szCs w:val="22"/>
          <w:lang w:eastAsia="zh-CN"/>
        </w:rPr>
        <w:t>12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月）</w:t>
      </w:r>
    </w:p>
    <w:p w14:paraId="6EC6AABF" w14:textId="77777777" w:rsidR="00313DD9" w:rsidRPr="003A59C1" w:rsidRDefault="00471117" w:rsidP="00D01482">
      <w:pPr>
        <w:pStyle w:val="aa"/>
        <w:widowControl w:val="0"/>
        <w:numPr>
          <w:ilvl w:val="0"/>
          <w:numId w:val="5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80" w:right="216" w:hanging="360"/>
        <w:contextualSpacing w:val="0"/>
        <w:jc w:val="both"/>
        <w:rPr>
          <w:rFonts w:asciiTheme="minorEastAsia" w:eastAsiaTheme="minorEastAsia" w:hAnsiTheme="minorEastAsia"/>
          <w:spacing w:val="-3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课程内容</w:t>
      </w:r>
    </w:p>
    <w:p w14:paraId="56915FF1" w14:textId="77777777" w:rsidR="00314F23" w:rsidRPr="003A59C1" w:rsidRDefault="00313DD9" w:rsidP="006A04DC">
      <w:pPr>
        <w:pStyle w:val="aa"/>
        <w:numPr>
          <w:ilvl w:val="0"/>
          <w:numId w:val="14"/>
        </w:numPr>
        <w:spacing w:line="240" w:lineRule="auto"/>
        <w:rPr>
          <w:rFonts w:asciiTheme="minorEastAsia" w:eastAsiaTheme="minorEastAsia" w:hAnsiTheme="minorEastAsia"/>
          <w:spacing w:val="-3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学生可以修读3学分人文社科学院课程，课程选择基于课程空位</w:t>
      </w:r>
    </w:p>
    <w:p w14:paraId="221A7273" w14:textId="77777777" w:rsidR="00313DD9" w:rsidRPr="003A59C1" w:rsidRDefault="00313DD9" w:rsidP="006A04DC">
      <w:pPr>
        <w:pStyle w:val="aa"/>
        <w:numPr>
          <w:ilvl w:val="0"/>
          <w:numId w:val="14"/>
        </w:numPr>
        <w:spacing w:line="240" w:lineRule="auto"/>
        <w:rPr>
          <w:rFonts w:asciiTheme="minorEastAsia" w:eastAsiaTheme="minorEastAsia" w:hAnsiTheme="minorEastAsia"/>
          <w:spacing w:val="-3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人文社科学院下设专业</w:t>
      </w:r>
      <w:r w:rsidR="006A04DC" w:rsidRPr="003A59C1">
        <w:rPr>
          <w:rFonts w:asciiTheme="minorEastAsia" w:eastAsiaTheme="minorEastAsia" w:hAnsiTheme="minorEastAsia" w:hint="eastAsia"/>
          <w:spacing w:val="-3"/>
          <w:sz w:val="22"/>
          <w:szCs w:val="22"/>
          <w:lang w:eastAsia="zh-CN"/>
        </w:rPr>
        <w:t>请详见网站链接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：</w:t>
      </w:r>
      <w:hyperlink r:id="rId10" w:history="1">
        <w:r w:rsidR="00314F23" w:rsidRPr="003A59C1">
          <w:rPr>
            <w:rStyle w:val="a9"/>
            <w:rFonts w:asciiTheme="minorEastAsia" w:eastAsiaTheme="minorEastAsia" w:hAnsiTheme="minorEastAsia" w:hint="eastAsia"/>
            <w:spacing w:val="-3"/>
            <w:sz w:val="22"/>
            <w:szCs w:val="22"/>
          </w:rPr>
          <w:t>https://ls.berkeley.edu/divisions-and-units</w:t>
        </w:r>
      </w:hyperlink>
    </w:p>
    <w:p w14:paraId="6BA56DB5" w14:textId="77777777" w:rsidR="00313DD9" w:rsidRPr="003A59C1" w:rsidRDefault="00314F23" w:rsidP="006A04DC">
      <w:pPr>
        <w:pStyle w:val="aa"/>
        <w:numPr>
          <w:ilvl w:val="0"/>
          <w:numId w:val="14"/>
        </w:numPr>
        <w:spacing w:line="240" w:lineRule="auto"/>
        <w:rPr>
          <w:rFonts w:asciiTheme="minorEastAsia" w:eastAsiaTheme="minorEastAsia" w:hAnsiTheme="minorEastAsia"/>
          <w:spacing w:val="-3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  <w:lang w:eastAsia="zh-CN"/>
        </w:rPr>
        <w:t>授课形式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为录播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  <w:lang w:eastAsia="zh-CN"/>
        </w:rPr>
        <w:t>和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直播相结合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  <w:lang w:eastAsia="zh-CN"/>
        </w:rPr>
        <w:t>，</w:t>
      </w:r>
      <w:r w:rsidR="004F3D3B" w:rsidRPr="003A59C1">
        <w:rPr>
          <w:rFonts w:asciiTheme="minorEastAsia" w:eastAsiaTheme="minorEastAsia" w:hAnsiTheme="minorEastAsia" w:hint="eastAsia"/>
          <w:spacing w:val="-3"/>
          <w:sz w:val="22"/>
          <w:szCs w:val="22"/>
          <w:lang w:eastAsia="zh-CN"/>
        </w:rPr>
        <w:t>具体课程清单将会晚些公布</w:t>
      </w:r>
    </w:p>
    <w:p w14:paraId="446EA0FB" w14:textId="77777777" w:rsidR="00471117" w:rsidRPr="003A59C1" w:rsidRDefault="00471117" w:rsidP="00D01482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73"/>
        <w:jc w:val="both"/>
        <w:rPr>
          <w:rFonts w:asciiTheme="minorEastAsia" w:hAnsiTheme="minorEastAsia" w:cs="Times New Roman"/>
          <w:spacing w:val="-7"/>
        </w:rPr>
      </w:pPr>
    </w:p>
    <w:p w14:paraId="63228A22" w14:textId="77777777" w:rsidR="008A1414" w:rsidRPr="003A59C1" w:rsidRDefault="008A1414" w:rsidP="00D01482">
      <w:pPr>
        <w:pStyle w:val="1"/>
        <w:tabs>
          <w:tab w:val="left" w:pos="959"/>
        </w:tabs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五、项目费用</w:t>
      </w:r>
    </w:p>
    <w:p w14:paraId="3F1A2919" w14:textId="3558BD26" w:rsidR="008A1414" w:rsidRPr="003A59C1" w:rsidRDefault="008A1414" w:rsidP="00D01482">
      <w:pPr>
        <w:pStyle w:val="aa"/>
        <w:widowControl w:val="0"/>
        <w:numPr>
          <w:ilvl w:val="0"/>
          <w:numId w:val="6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项目费用：$</w:t>
      </w:r>
      <w:r w:rsidR="00B47EB3" w:rsidRPr="003A59C1">
        <w:rPr>
          <w:rFonts w:asciiTheme="minorEastAsia" w:eastAsiaTheme="minorEastAsia" w:hAnsiTheme="minorEastAsia"/>
          <w:spacing w:val="-7"/>
          <w:sz w:val="22"/>
          <w:szCs w:val="22"/>
        </w:rPr>
        <w:t>3</w:t>
      </w:r>
      <w:r w:rsidR="00B47EB3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,</w:t>
      </w:r>
      <w:r w:rsidR="00B47EB3" w:rsidRPr="003A59C1">
        <w:rPr>
          <w:rFonts w:asciiTheme="minorEastAsia" w:eastAsiaTheme="minorEastAsia" w:hAnsiTheme="minorEastAsia"/>
          <w:spacing w:val="-7"/>
          <w:sz w:val="22"/>
          <w:szCs w:val="22"/>
        </w:rPr>
        <w:t>225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美元（</w:t>
      </w:r>
      <w:r w:rsidR="006A04DC"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包含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3学分专业课程）</w:t>
      </w:r>
    </w:p>
    <w:p w14:paraId="69A76963" w14:textId="1918A25E" w:rsidR="008A1414" w:rsidRPr="003A59C1" w:rsidRDefault="008A1414" w:rsidP="00D01482">
      <w:pPr>
        <w:pStyle w:val="aa"/>
        <w:widowControl w:val="0"/>
        <w:numPr>
          <w:ilvl w:val="0"/>
          <w:numId w:val="6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项目费用包括：UC Berkeley学杂费（学分费用、其他必收杂费，包括国际学生服务费、注册费、课程材料费等）、SAF服务管理费（SAF 美国工作人员、中国工作人员将为同学们提供项目咨询、项目申请、课程注册、在线课程支持等各项服务）。</w:t>
      </w:r>
    </w:p>
    <w:p w14:paraId="5682FBD7" w14:textId="77777777" w:rsidR="000B788F" w:rsidRPr="003A59C1" w:rsidRDefault="000B788F" w:rsidP="00D01482">
      <w:pPr>
        <w:pStyle w:val="aa"/>
        <w:widowControl w:val="0"/>
        <w:numPr>
          <w:ilvl w:val="0"/>
          <w:numId w:val="6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若实际修读学分超过3学分，则需按照UC Berkeley的学费标准补交超出部分的学分费用。</w:t>
      </w:r>
    </w:p>
    <w:p w14:paraId="7A045120" w14:textId="6D32307E" w:rsidR="008A1414" w:rsidRPr="003A59C1" w:rsidRDefault="008A1414" w:rsidP="00D01482">
      <w:pPr>
        <w:pStyle w:val="aa"/>
        <w:widowControl w:val="0"/>
        <w:numPr>
          <w:ilvl w:val="0"/>
          <w:numId w:val="6"/>
        </w:numPr>
        <w:tabs>
          <w:tab w:val="left" w:pos="973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313"/>
        <w:jc w:val="both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以上费用为2020年</w:t>
      </w: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秋季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在线项目费用， SAF保留在特殊情况下调整费用的权利。</w:t>
      </w:r>
    </w:p>
    <w:p w14:paraId="12A939A8" w14:textId="77777777" w:rsidR="008A1414" w:rsidRPr="003A59C1" w:rsidRDefault="008A1414" w:rsidP="00D01482">
      <w:pPr>
        <w:pStyle w:val="1"/>
        <w:tabs>
          <w:tab w:val="left" w:pos="959"/>
        </w:tabs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br/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六、报名流程</w:t>
      </w:r>
    </w:p>
    <w:p w14:paraId="01158D6B" w14:textId="77777777" w:rsidR="008A1414" w:rsidRPr="003A59C1" w:rsidRDefault="008A1414" w:rsidP="00D0148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报名条件：</w:t>
      </w:r>
    </w:p>
    <w:p w14:paraId="32DEFBDE" w14:textId="77777777" w:rsidR="008A1414" w:rsidRPr="003A59C1" w:rsidRDefault="008A1414" w:rsidP="00D01482">
      <w:pPr>
        <w:pStyle w:val="aa"/>
        <w:numPr>
          <w:ilvl w:val="0"/>
          <w:numId w:val="7"/>
        </w:numPr>
        <w:spacing w:line="240" w:lineRule="auto"/>
        <w:rPr>
          <w:rFonts w:asciiTheme="minorEastAsia" w:eastAsiaTheme="minorEastAsia" w:hAnsiTheme="minorEastAsia"/>
          <w:spacing w:val="-7"/>
          <w:sz w:val="22"/>
          <w:szCs w:val="22"/>
        </w:rPr>
      </w:pPr>
      <w:bookmarkStart w:id="0" w:name="_Hlk44452369"/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在校全日制本科生</w:t>
      </w:r>
    </w:p>
    <w:bookmarkEnd w:id="0"/>
    <w:p w14:paraId="2F713DC1" w14:textId="77777777" w:rsidR="008A1414" w:rsidRPr="003A59C1" w:rsidRDefault="008A1414" w:rsidP="00D0148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GPA 要求：3.0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/</w:t>
      </w: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4.0</w:t>
      </w:r>
    </w:p>
    <w:p w14:paraId="265AECBE" w14:textId="77777777" w:rsidR="008A1414" w:rsidRPr="003A59C1" w:rsidRDefault="008A1414" w:rsidP="006A04DC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3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语言</w:t>
      </w: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  <w:lang w:eastAsia="zh-CN"/>
        </w:rPr>
        <w:t>最低要求：</w:t>
      </w:r>
      <w:r w:rsidRPr="003A59C1">
        <w:rPr>
          <w:rFonts w:asciiTheme="minorEastAsia" w:eastAsiaTheme="minorEastAsia" w:hAnsiTheme="minorEastAsia"/>
          <w:sz w:val="22"/>
          <w:szCs w:val="22"/>
        </w:rPr>
        <w:t>CET4</w:t>
      </w:r>
      <w:r w:rsidRPr="003A59C1">
        <w:rPr>
          <w:rFonts w:asciiTheme="minorEastAsia" w:eastAsiaTheme="minorEastAsia" w:hAnsiTheme="minorEastAsia"/>
          <w:spacing w:val="2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z w:val="22"/>
          <w:szCs w:val="22"/>
        </w:rPr>
        <w:t>493</w:t>
      </w:r>
      <w:r w:rsidRPr="003A59C1">
        <w:rPr>
          <w:rFonts w:asciiTheme="minorEastAsia" w:eastAsiaTheme="minorEastAsia" w:hAnsiTheme="minorEastAsia"/>
          <w:spacing w:val="2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z w:val="22"/>
          <w:szCs w:val="22"/>
        </w:rPr>
        <w:t>/ CET6</w:t>
      </w:r>
      <w:r w:rsidRPr="003A59C1">
        <w:rPr>
          <w:rFonts w:asciiTheme="minorEastAsia" w:eastAsiaTheme="minorEastAsia" w:hAnsiTheme="minorEastAsia"/>
          <w:spacing w:val="2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z w:val="22"/>
          <w:szCs w:val="22"/>
        </w:rPr>
        <w:t>450 /</w:t>
      </w:r>
      <w:r w:rsidRPr="003A59C1">
        <w:rPr>
          <w:rFonts w:asciiTheme="minorEastAsia" w:eastAsiaTheme="minorEastAsia" w:hAnsiTheme="minorEastAsia"/>
          <w:spacing w:val="3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pacing w:val="-3"/>
          <w:sz w:val="22"/>
          <w:szCs w:val="22"/>
        </w:rPr>
        <w:t>IELTS:6.5</w:t>
      </w:r>
      <w:r w:rsidRPr="003A59C1">
        <w:rPr>
          <w:rFonts w:asciiTheme="minorEastAsia" w:eastAsiaTheme="minorEastAsia" w:hAnsiTheme="minorEastAsia"/>
          <w:spacing w:val="2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z w:val="22"/>
          <w:szCs w:val="22"/>
        </w:rPr>
        <w:t>/ TOEFL</w:t>
      </w:r>
      <w:r w:rsidRPr="003A59C1">
        <w:rPr>
          <w:rFonts w:asciiTheme="minorEastAsia" w:eastAsiaTheme="minorEastAsia" w:hAnsiTheme="minorEastAsia"/>
          <w:spacing w:val="-5"/>
          <w:sz w:val="22"/>
          <w:szCs w:val="22"/>
        </w:rPr>
        <w:t xml:space="preserve"> 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80 /  Duolingo 105 / </w:t>
      </w:r>
      <w:r w:rsidR="006A04DC" w:rsidRPr="003A59C1">
        <w:rPr>
          <w:rFonts w:asciiTheme="minorEastAsia" w:eastAsiaTheme="minorEastAsia" w:hAnsiTheme="minorEastAsia"/>
          <w:sz w:val="22"/>
          <w:szCs w:val="22"/>
        </w:rPr>
        <w:t>iTEP</w:t>
      </w:r>
      <w:r w:rsidRPr="003A59C1">
        <w:rPr>
          <w:rFonts w:asciiTheme="minorEastAsia" w:eastAsiaTheme="minorEastAsia" w:hAnsiTheme="minorEastAsia"/>
          <w:sz w:val="22"/>
          <w:szCs w:val="22"/>
        </w:rPr>
        <w:t xml:space="preserve"> 5.0 </w:t>
      </w:r>
      <w:r w:rsidRPr="003A59C1">
        <w:rPr>
          <w:rFonts w:asciiTheme="minorEastAsia" w:eastAsiaTheme="minorEastAsia" w:hAnsiTheme="minorEastAsia" w:hint="eastAsia"/>
          <w:spacing w:val="-3"/>
          <w:sz w:val="22"/>
          <w:szCs w:val="22"/>
        </w:rPr>
        <w:t>同时需要参加加州大学伯克利分校远程面试。</w:t>
      </w:r>
    </w:p>
    <w:p w14:paraId="09390C22" w14:textId="77777777" w:rsidR="008A1414" w:rsidRPr="003A59C1" w:rsidRDefault="008A1414" w:rsidP="00D01482">
      <w:pPr>
        <w:pStyle w:val="aa"/>
        <w:spacing w:line="240" w:lineRule="auto"/>
        <w:ind w:left="1440"/>
        <w:rPr>
          <w:rFonts w:asciiTheme="minorEastAsia" w:eastAsiaTheme="minorEastAsia" w:hAnsiTheme="minorEastAsia"/>
          <w:spacing w:val="-7"/>
          <w:sz w:val="22"/>
          <w:szCs w:val="22"/>
        </w:rPr>
      </w:pPr>
    </w:p>
    <w:p w14:paraId="7BCCDE3B" w14:textId="36793063" w:rsidR="008A1414" w:rsidRPr="006E3039" w:rsidRDefault="008A1414" w:rsidP="006E3039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报名截止日期：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3A59C1">
        <w:rPr>
          <w:rFonts w:asciiTheme="minorEastAsia" w:eastAsiaTheme="minorEastAsia" w:hAnsiTheme="minorEastAsia"/>
          <w:sz w:val="22"/>
          <w:szCs w:val="22"/>
        </w:rPr>
        <w:t>020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年7月</w:t>
      </w:r>
      <w:r w:rsidR="003529AC" w:rsidRPr="003A59C1">
        <w:rPr>
          <w:rFonts w:asciiTheme="minorEastAsia" w:eastAsiaTheme="minorEastAsia" w:hAnsiTheme="minorEastAsia"/>
          <w:sz w:val="22"/>
          <w:szCs w:val="22"/>
        </w:rPr>
        <w:t>1</w:t>
      </w:r>
      <w:r w:rsidR="003A59C1">
        <w:rPr>
          <w:rFonts w:asciiTheme="minorEastAsia" w:eastAsiaTheme="minorEastAsia" w:hAnsiTheme="minorEastAsia" w:hint="eastAsia"/>
          <w:sz w:val="22"/>
          <w:szCs w:val="22"/>
          <w:lang w:eastAsia="zh-CN"/>
        </w:rPr>
        <w:t>9</w:t>
      </w:r>
      <w:r w:rsidRPr="003A59C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624223D9" w14:textId="77777777" w:rsidR="006E3039" w:rsidRPr="006E3039" w:rsidRDefault="006E3039" w:rsidP="006E3039">
      <w:pPr>
        <w:pStyle w:val="aa"/>
        <w:widowControl w:val="0"/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</w:p>
    <w:p w14:paraId="7D7687AC" w14:textId="77777777" w:rsidR="008A1414" w:rsidRPr="003A59C1" w:rsidRDefault="008A1414" w:rsidP="00D0148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申请材料：</w:t>
      </w:r>
      <w:r w:rsidRPr="003A59C1">
        <w:rPr>
          <w:rFonts w:asciiTheme="minorEastAsia" w:eastAsiaTheme="minorEastAsia" w:hAnsiTheme="minorEastAsia"/>
          <w:spacing w:val="-7"/>
          <w:sz w:val="22"/>
          <w:szCs w:val="22"/>
        </w:rPr>
        <w:t>（全程电子化申请，所有材料需通过SAF网申账户上传清晰扫描件）</w:t>
      </w:r>
    </w:p>
    <w:p w14:paraId="473FD6A2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网申表格（SAF指导老师在收到咨询表格后会主动联系并指导同学完成网申流程）；</w:t>
      </w:r>
    </w:p>
    <w:p w14:paraId="7719D625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中英文版在校成绩单；</w:t>
      </w:r>
    </w:p>
    <w:p w14:paraId="35394CB7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英语成绩证明；</w:t>
      </w:r>
    </w:p>
    <w:p w14:paraId="7240EB4F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报名定金（300美元）；</w:t>
      </w:r>
    </w:p>
    <w:p w14:paraId="3F9025F1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老师推荐信</w:t>
      </w:r>
    </w:p>
    <w:p w14:paraId="180C6C4A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银行存款证明</w:t>
      </w:r>
    </w:p>
    <w:p w14:paraId="2FA30F47" w14:textId="77777777" w:rsidR="008A1414" w:rsidRPr="003A59C1" w:rsidRDefault="008A1414" w:rsidP="00D0148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护照复印件</w:t>
      </w:r>
    </w:p>
    <w:p w14:paraId="1D8DD9B5" w14:textId="77777777" w:rsidR="006A04DC" w:rsidRPr="003A59C1" w:rsidRDefault="008A1414" w:rsidP="006A04D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before="50" w:after="0" w:line="240" w:lineRule="auto"/>
        <w:contextualSpacing w:val="0"/>
        <w:rPr>
          <w:rFonts w:asciiTheme="minorEastAsia" w:eastAsiaTheme="minorEastAsia" w:hAnsiTheme="minorEastAsia"/>
          <w:spacing w:val="-7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pacing w:val="-7"/>
          <w:sz w:val="22"/>
          <w:szCs w:val="22"/>
        </w:rPr>
        <w:t>个人陈述</w:t>
      </w:r>
    </w:p>
    <w:p w14:paraId="37A18387" w14:textId="77777777" w:rsidR="008A1414" w:rsidRPr="003A59C1" w:rsidRDefault="008A1414" w:rsidP="00D01482">
      <w:pPr>
        <w:tabs>
          <w:tab w:val="left" w:pos="901"/>
        </w:tabs>
        <w:kinsoku w:val="0"/>
        <w:overflowPunct w:val="0"/>
        <w:spacing w:before="33" w:line="240" w:lineRule="auto"/>
        <w:ind w:left="450" w:right="213"/>
        <w:rPr>
          <w:rFonts w:asciiTheme="minorEastAsia" w:hAnsiTheme="minorEastAsia" w:cs="Times New Roman"/>
          <w:spacing w:val="-7"/>
        </w:rPr>
      </w:pPr>
    </w:p>
    <w:p w14:paraId="0605820C" w14:textId="1D91EF97" w:rsidR="008A1414" w:rsidRPr="003A59C1" w:rsidRDefault="008A1414" w:rsidP="003A59C1">
      <w:pPr>
        <w:pStyle w:val="1"/>
        <w:tabs>
          <w:tab w:val="left" w:pos="959"/>
        </w:tabs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3A59C1">
        <w:rPr>
          <w:rFonts w:asciiTheme="minorEastAsia" w:eastAsiaTheme="minorEastAsia" w:hAnsiTheme="minorEastAsia" w:hint="eastAsia"/>
          <w:sz w:val="22"/>
          <w:szCs w:val="22"/>
        </w:rPr>
        <w:t>七、项目咨询</w:t>
      </w:r>
    </w:p>
    <w:p w14:paraId="6E9F1C2B" w14:textId="77777777" w:rsidR="008A1414" w:rsidRPr="003A59C1" w:rsidRDefault="008A1414" w:rsidP="00D01482">
      <w:pPr>
        <w:spacing w:line="240" w:lineRule="auto"/>
        <w:ind w:left="540"/>
        <w:rPr>
          <w:rFonts w:asciiTheme="minorEastAsia" w:hAnsiTheme="minorEastAsia" w:cs="Times New Roman"/>
          <w:spacing w:val="-7"/>
        </w:rPr>
      </w:pPr>
    </w:p>
    <w:p w14:paraId="20A94F89" w14:textId="1CBB2B8E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  <w:spacing w:val="-3"/>
          <w:lang w:eastAsia="zh-CN"/>
        </w:rPr>
      </w:pPr>
      <w:r w:rsidRPr="00215E54">
        <w:rPr>
          <w:rFonts w:asciiTheme="minorEastAsia" w:eastAsiaTheme="minorEastAsia" w:hAnsiTheme="minorEastAsia"/>
          <w:spacing w:val="-3"/>
          <w:lang w:eastAsia="zh-CN"/>
        </w:rPr>
        <w:t>SAF</w:t>
      </w:r>
      <w:r w:rsidRPr="00215E54">
        <w:rPr>
          <w:rFonts w:asciiTheme="minorEastAsia" w:eastAsiaTheme="minorEastAsia" w:hAnsiTheme="minorEastAsia" w:hint="eastAsia"/>
          <w:spacing w:val="-3"/>
          <w:lang w:eastAsia="zh-CN"/>
        </w:rPr>
        <w:t>上海办公室</w:t>
      </w:r>
      <w:r w:rsidR="005A1E79">
        <w:rPr>
          <w:rFonts w:asciiTheme="minorEastAsia" w:eastAsiaTheme="minorEastAsia" w:hAnsiTheme="minorEastAsia" w:hint="eastAsia"/>
          <w:spacing w:val="-3"/>
          <w:lang w:eastAsia="zh-CN"/>
        </w:rPr>
        <w:t xml:space="preserve"> </w:t>
      </w:r>
      <w:r w:rsidR="00375A41">
        <w:rPr>
          <w:rFonts w:asciiTheme="minorEastAsia" w:eastAsiaTheme="minorEastAsia" w:hAnsiTheme="minorEastAsia" w:hint="eastAsia"/>
          <w:spacing w:val="-3"/>
          <w:lang w:eastAsia="zh-CN"/>
        </w:rPr>
        <w:t>呼洋</w:t>
      </w:r>
      <w:r w:rsidR="005A1E79">
        <w:rPr>
          <w:rFonts w:asciiTheme="minorEastAsia" w:eastAsiaTheme="minorEastAsia" w:hAnsiTheme="minorEastAsia" w:hint="eastAsia"/>
          <w:spacing w:val="-3"/>
          <w:lang w:eastAsia="zh-CN"/>
        </w:rPr>
        <w:t>老师</w:t>
      </w:r>
    </w:p>
    <w:p w14:paraId="1A5CF73D" w14:textId="77777777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  <w:spacing w:val="-3"/>
          <w:lang w:eastAsia="zh-CN"/>
        </w:rPr>
      </w:pPr>
      <w:r w:rsidRPr="00215E54">
        <w:rPr>
          <w:rFonts w:asciiTheme="minorEastAsia" w:eastAsiaTheme="minorEastAsia" w:hAnsiTheme="minorEastAsia"/>
          <w:spacing w:val="-3"/>
          <w:lang w:eastAsia="zh-CN"/>
        </w:rPr>
        <w:t>电话：021-31082454</w:t>
      </w:r>
      <w:r w:rsidRPr="00215E54">
        <w:rPr>
          <w:rFonts w:asciiTheme="minorEastAsia" w:eastAsiaTheme="minorEastAsia" w:hAnsiTheme="minorEastAsia" w:hint="eastAsia"/>
          <w:spacing w:val="-3"/>
          <w:lang w:eastAsia="zh-CN"/>
        </w:rPr>
        <w:t>、</w:t>
      </w:r>
      <w:r w:rsidRPr="00215E54">
        <w:rPr>
          <w:rFonts w:asciiTheme="minorEastAsia" w:eastAsiaTheme="minorEastAsia" w:hAnsiTheme="minorEastAsia"/>
          <w:spacing w:val="-3"/>
          <w:lang w:eastAsia="zh-CN"/>
        </w:rPr>
        <w:t>021-31082457</w:t>
      </w:r>
    </w:p>
    <w:p w14:paraId="7B85A909" w14:textId="77777777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</w:rPr>
      </w:pPr>
      <w:r w:rsidRPr="00215E54">
        <w:rPr>
          <w:rFonts w:asciiTheme="minorEastAsia" w:eastAsiaTheme="minorEastAsia" w:hAnsiTheme="minorEastAsia"/>
        </w:rPr>
        <w:lastRenderedPageBreak/>
        <w:t>电邮：</w:t>
      </w:r>
      <w:hyperlink r:id="rId11" w:history="1">
        <w:r w:rsidRPr="00215E54">
          <w:rPr>
            <w:rStyle w:val="a9"/>
            <w:rFonts w:asciiTheme="minorEastAsia" w:eastAsiaTheme="minorEastAsia" w:hAnsiTheme="minorEastAsia"/>
          </w:rPr>
          <w:t>shanghai@safabroad.org</w:t>
        </w:r>
      </w:hyperlink>
      <w:r w:rsidRPr="00215E54">
        <w:rPr>
          <w:rFonts w:asciiTheme="minorEastAsia" w:eastAsiaTheme="minorEastAsia" w:hAnsiTheme="minorEastAsia"/>
        </w:rPr>
        <w:t xml:space="preserve">  </w:t>
      </w:r>
    </w:p>
    <w:p w14:paraId="51B2C238" w14:textId="00939626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</w:rPr>
      </w:pPr>
      <w:r w:rsidRPr="00215E54">
        <w:rPr>
          <w:rFonts w:asciiTheme="minorEastAsia" w:eastAsiaTheme="minorEastAsia" w:hAnsiTheme="minorEastAsia"/>
        </w:rPr>
        <w:t>QQ</w:t>
      </w:r>
      <w:r w:rsidRPr="00215E54">
        <w:rPr>
          <w:rFonts w:asciiTheme="minorEastAsia" w:eastAsiaTheme="minorEastAsia" w:hAnsiTheme="minorEastAsia" w:hint="eastAsia"/>
          <w:lang w:eastAsia="zh-CN"/>
        </w:rPr>
        <w:t>：</w:t>
      </w:r>
      <w:r w:rsidR="00375A41">
        <w:rPr>
          <w:rFonts w:ascii="DengXian" w:eastAsia="DengXian" w:hAnsi="DengXian" w:hint="eastAsia"/>
          <w:sz w:val="22"/>
        </w:rPr>
        <w:t>726381297</w:t>
      </w:r>
    </w:p>
    <w:p w14:paraId="51D1B33D" w14:textId="77777777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</w:rPr>
      </w:pPr>
      <w:r w:rsidRPr="00215E54">
        <w:rPr>
          <w:rFonts w:asciiTheme="minorEastAsia" w:eastAsiaTheme="minorEastAsia" w:hAnsiTheme="minorEastAsia"/>
        </w:rPr>
        <w:t>官网：</w:t>
      </w:r>
      <w:hyperlink r:id="rId12" w:history="1">
        <w:r w:rsidRPr="00215E54">
          <w:rPr>
            <w:rFonts w:asciiTheme="minorEastAsia" w:eastAsiaTheme="minorEastAsia" w:hAnsiTheme="minorEastAsia" w:cs="Arial Narrow"/>
            <w:color w:val="0000FF"/>
            <w:u w:val="single"/>
          </w:rPr>
          <w:t>https://www.safchina.cn/</w:t>
        </w:r>
      </w:hyperlink>
    </w:p>
    <w:p w14:paraId="74D5FD47" w14:textId="77777777" w:rsidR="003A59C1" w:rsidRPr="00215E54" w:rsidRDefault="003A59C1" w:rsidP="003A59C1">
      <w:pPr>
        <w:pStyle w:val="aa"/>
        <w:tabs>
          <w:tab w:val="left" w:pos="541"/>
        </w:tabs>
        <w:kinsoku w:val="0"/>
        <w:overflowPunct w:val="0"/>
        <w:spacing w:before="1"/>
        <w:ind w:left="120" w:right="210"/>
        <w:rPr>
          <w:rFonts w:asciiTheme="minorEastAsia" w:eastAsiaTheme="minorEastAsia" w:hAnsiTheme="minorEastAsia"/>
          <w:spacing w:val="-3"/>
          <w:lang w:eastAsia="zh-CN"/>
        </w:rPr>
      </w:pPr>
      <w:r w:rsidRPr="00215E54">
        <w:rPr>
          <w:rFonts w:asciiTheme="minorEastAsia" w:eastAsiaTheme="minorEastAsia" w:hAnsiTheme="minorEastAsia" w:cs="Arial Narrow"/>
          <w:lang w:eastAsia="zh-CN"/>
        </w:rPr>
        <w:t xml:space="preserve">SAF </w:t>
      </w:r>
      <w:r w:rsidRPr="00215E54">
        <w:rPr>
          <w:rFonts w:asciiTheme="minorEastAsia" w:eastAsiaTheme="minorEastAsia" w:hAnsiTheme="minorEastAsia"/>
          <w:lang w:eastAsia="zh-CN"/>
        </w:rPr>
        <w:t>微信公众号：</w:t>
      </w:r>
      <w:r w:rsidRPr="00215E54">
        <w:rPr>
          <w:rFonts w:asciiTheme="minorEastAsia" w:eastAsiaTheme="minorEastAsia" w:hAnsiTheme="minorEastAsia" w:cs="Arial Narrow"/>
          <w:lang w:eastAsia="zh-CN"/>
        </w:rPr>
        <w:t xml:space="preserve">SAF </w:t>
      </w:r>
      <w:r w:rsidRPr="00215E54">
        <w:rPr>
          <w:rFonts w:asciiTheme="minorEastAsia" w:eastAsiaTheme="minorEastAsia" w:hAnsiTheme="minorEastAsia"/>
          <w:lang w:eastAsia="zh-CN"/>
        </w:rPr>
        <w:t>海外名校交流</w:t>
      </w:r>
    </w:p>
    <w:p w14:paraId="0C35829F" w14:textId="77777777" w:rsidR="0037223A" w:rsidRPr="003A59C1" w:rsidRDefault="008A1414" w:rsidP="00D01482">
      <w:pPr>
        <w:spacing w:line="240" w:lineRule="auto"/>
        <w:rPr>
          <w:rFonts w:asciiTheme="minorEastAsia" w:hAnsiTheme="minorEastAsia" w:cs="Calibri"/>
        </w:rPr>
      </w:pPr>
      <w:r w:rsidRPr="003A59C1">
        <w:rPr>
          <w:rFonts w:asciiTheme="minorEastAsia" w:hAnsiTheme="minorEastAsia" w:cs="Calibri"/>
          <w:noProof/>
        </w:rPr>
        <w:drawing>
          <wp:inline distT="0" distB="0" distL="0" distR="0" wp14:anchorId="7BE0BCBD" wp14:editId="77B59A97">
            <wp:extent cx="1638300" cy="533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23A" w:rsidRPr="003A59C1" w:rsidSect="00D01482">
      <w:headerReference w:type="default" r:id="rId14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4B3C" w14:textId="77777777" w:rsidR="00626BDC" w:rsidRDefault="00626BDC" w:rsidP="00A94FB6">
      <w:pPr>
        <w:spacing w:after="0" w:line="240" w:lineRule="auto"/>
      </w:pPr>
      <w:r>
        <w:separator/>
      </w:r>
    </w:p>
  </w:endnote>
  <w:endnote w:type="continuationSeparator" w:id="0">
    <w:p w14:paraId="61F31778" w14:textId="77777777" w:rsidR="00626BDC" w:rsidRDefault="00626BDC" w:rsidP="00A9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8339" w14:textId="77777777" w:rsidR="00626BDC" w:rsidRDefault="00626BDC" w:rsidP="00A94FB6">
      <w:pPr>
        <w:spacing w:after="0" w:line="240" w:lineRule="auto"/>
      </w:pPr>
      <w:r>
        <w:separator/>
      </w:r>
    </w:p>
  </w:footnote>
  <w:footnote w:type="continuationSeparator" w:id="0">
    <w:p w14:paraId="4CF42F43" w14:textId="77777777" w:rsidR="00626BDC" w:rsidRDefault="00626BDC" w:rsidP="00A9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3795" w14:textId="00A9C270" w:rsidR="00A94FB6" w:rsidRDefault="00C561D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4FB30" wp14:editId="25DB2086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33550" cy="418240"/>
          <wp:effectExtent l="0" t="0" r="0" b="1270"/>
          <wp:wrapNone/>
          <wp:docPr id="2" name="Imagen 2" descr="C:\Users\User\AppData\Local\Microsoft\Windows\INetCache\Content.Word\SAF_20t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AF_20th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hybridMultilevel"/>
    <w:tmpl w:val="00000402"/>
    <w:lvl w:ilvl="0" w:tplc="FFFFFFFF">
      <w:numFmt w:val="bullet"/>
      <w:lvlText w:val=""/>
      <w:lvlJc w:val="left"/>
      <w:pPr>
        <w:ind w:left="840" w:hanging="360"/>
      </w:pPr>
      <w:rPr>
        <w:rFonts w:ascii="Symbol" w:eastAsia="SimSun" w:hAnsi="Symbol"/>
        <w:sz w:val="21"/>
      </w:rPr>
    </w:lvl>
    <w:lvl w:ilvl="1" w:tplc="FFFFFFFF">
      <w:numFmt w:val="bullet"/>
      <w:lvlText w:val="•"/>
      <w:lvlJc w:val="left"/>
      <w:pPr>
        <w:ind w:left="1760" w:hanging="360"/>
      </w:pPr>
    </w:lvl>
    <w:lvl w:ilvl="2" w:tplc="FFFFFFFF">
      <w:numFmt w:val="bullet"/>
      <w:lvlText w:val="•"/>
      <w:lvlJc w:val="left"/>
      <w:pPr>
        <w:ind w:left="2681" w:hanging="360"/>
      </w:pPr>
    </w:lvl>
    <w:lvl w:ilvl="3" w:tplc="FFFFFFFF">
      <w:numFmt w:val="bullet"/>
      <w:lvlText w:val="•"/>
      <w:lvlJc w:val="left"/>
      <w:pPr>
        <w:ind w:left="3601" w:hanging="360"/>
      </w:pPr>
    </w:lvl>
    <w:lvl w:ilvl="4" w:tplc="FFFFFFFF">
      <w:numFmt w:val="bullet"/>
      <w:lvlText w:val="•"/>
      <w:lvlJc w:val="left"/>
      <w:pPr>
        <w:ind w:left="4522" w:hanging="360"/>
      </w:pPr>
    </w:lvl>
    <w:lvl w:ilvl="5" w:tplc="FFFFFFFF">
      <w:numFmt w:val="bullet"/>
      <w:lvlText w:val="•"/>
      <w:lvlJc w:val="left"/>
      <w:pPr>
        <w:ind w:left="5443" w:hanging="360"/>
      </w:pPr>
    </w:lvl>
    <w:lvl w:ilvl="6" w:tplc="FFFFFFFF">
      <w:numFmt w:val="bullet"/>
      <w:lvlText w:val="•"/>
      <w:lvlJc w:val="left"/>
      <w:pPr>
        <w:ind w:left="6363" w:hanging="360"/>
      </w:pPr>
    </w:lvl>
    <w:lvl w:ilvl="7" w:tplc="FFFFFFFF">
      <w:numFmt w:val="bullet"/>
      <w:lvlText w:val="•"/>
      <w:lvlJc w:val="left"/>
      <w:pPr>
        <w:ind w:left="7284" w:hanging="360"/>
      </w:pPr>
    </w:lvl>
    <w:lvl w:ilvl="8" w:tplc="FFFFFFFF">
      <w:numFmt w:val="bullet"/>
      <w:lvlText w:val="•"/>
      <w:lvlJc w:val="left"/>
      <w:pPr>
        <w:ind w:left="8205" w:hanging="360"/>
      </w:pPr>
    </w:lvl>
  </w:abstractNum>
  <w:abstractNum w:abstractNumId="1" w15:restartNumberingAfterBreak="0">
    <w:nsid w:val="00000405"/>
    <w:multiLevelType w:val="hybridMultilevel"/>
    <w:tmpl w:val="00000405"/>
    <w:lvl w:ilvl="0" w:tplc="FFFFFFFF">
      <w:start w:val="1"/>
      <w:numFmt w:val="decimal"/>
      <w:lvlText w:val="%1."/>
      <w:lvlJc w:val="left"/>
      <w:pPr>
        <w:ind w:left="480" w:hanging="361"/>
      </w:pPr>
      <w:rPr>
        <w:rFonts w:ascii="Arial Narrow" w:eastAsia="SimSun" w:hAnsi="Times New Roman"/>
        <w:spacing w:val="-1"/>
        <w:sz w:val="21"/>
      </w:rPr>
    </w:lvl>
    <w:lvl w:ilvl="1" w:tplc="FFFFFFFF">
      <w:numFmt w:val="bullet"/>
      <w:lvlText w:val="·"/>
      <w:lvlJc w:val="left"/>
      <w:pPr>
        <w:ind w:left="840" w:hanging="360"/>
      </w:pPr>
      <w:rPr>
        <w:rFonts w:ascii="SimSun" w:eastAsia="SimSun" w:hAnsi="Times New Roman"/>
        <w:spacing w:val="-3"/>
        <w:sz w:val="24"/>
      </w:rPr>
    </w:lvl>
    <w:lvl w:ilvl="2" w:tplc="FFFFFFFF">
      <w:numFmt w:val="bullet"/>
      <w:lvlText w:val="o"/>
      <w:lvlJc w:val="left"/>
      <w:pPr>
        <w:ind w:left="1319" w:hanging="420"/>
      </w:pPr>
      <w:rPr>
        <w:rFonts w:ascii="Courier New" w:eastAsia="SimSun" w:hAnsi="Times New Roman"/>
        <w:sz w:val="21"/>
      </w:rPr>
    </w:lvl>
    <w:lvl w:ilvl="3" w:tplc="FFFFFFFF">
      <w:numFmt w:val="bullet"/>
      <w:lvlText w:val="•"/>
      <w:lvlJc w:val="left"/>
      <w:pPr>
        <w:ind w:left="2410" w:hanging="420"/>
      </w:pPr>
    </w:lvl>
    <w:lvl w:ilvl="4" w:tplc="FFFFFFFF">
      <w:numFmt w:val="bullet"/>
      <w:lvlText w:val="•"/>
      <w:lvlJc w:val="left"/>
      <w:pPr>
        <w:ind w:left="3501" w:hanging="420"/>
      </w:pPr>
    </w:lvl>
    <w:lvl w:ilvl="5" w:tplc="FFFFFFFF">
      <w:numFmt w:val="bullet"/>
      <w:lvlText w:val="•"/>
      <w:lvlJc w:val="left"/>
      <w:pPr>
        <w:ind w:left="4592" w:hanging="420"/>
      </w:pPr>
    </w:lvl>
    <w:lvl w:ilvl="6" w:tplc="FFFFFFFF">
      <w:numFmt w:val="bullet"/>
      <w:lvlText w:val="•"/>
      <w:lvlJc w:val="left"/>
      <w:pPr>
        <w:ind w:left="5683" w:hanging="420"/>
      </w:pPr>
    </w:lvl>
    <w:lvl w:ilvl="7" w:tplc="FFFFFFFF">
      <w:numFmt w:val="bullet"/>
      <w:lvlText w:val="•"/>
      <w:lvlJc w:val="left"/>
      <w:pPr>
        <w:ind w:left="6774" w:hanging="420"/>
      </w:pPr>
    </w:lvl>
    <w:lvl w:ilvl="8" w:tplc="FFFFFFFF">
      <w:numFmt w:val="bullet"/>
      <w:lvlText w:val="•"/>
      <w:lvlJc w:val="left"/>
      <w:pPr>
        <w:ind w:left="7864" w:hanging="420"/>
      </w:pPr>
    </w:lvl>
  </w:abstractNum>
  <w:abstractNum w:abstractNumId="2" w15:restartNumberingAfterBreak="0">
    <w:nsid w:val="00000406"/>
    <w:multiLevelType w:val="hybridMultilevel"/>
    <w:tmpl w:val="00000406"/>
    <w:lvl w:ilvl="0" w:tplc="FFFFFFFF">
      <w:start w:val="1"/>
      <w:numFmt w:val="bullet"/>
      <w:lvlText w:val=""/>
      <w:lvlJc w:val="left"/>
      <w:pPr>
        <w:ind w:left="1200" w:hanging="361"/>
      </w:pPr>
      <w:rPr>
        <w:rFonts w:ascii="Symbol" w:eastAsia="Times New Roman" w:hAnsi="Symbol"/>
        <w:sz w:val="21"/>
      </w:rPr>
    </w:lvl>
    <w:lvl w:ilvl="1" w:tplc="FFFFFFFF">
      <w:start w:val="1"/>
      <w:numFmt w:val="bullet"/>
      <w:lvlText w:val="•"/>
      <w:lvlJc w:val="left"/>
      <w:pPr>
        <w:ind w:left="2088" w:hanging="361"/>
      </w:pPr>
    </w:lvl>
    <w:lvl w:ilvl="2" w:tplc="FFFFFFFF">
      <w:start w:val="1"/>
      <w:numFmt w:val="bullet"/>
      <w:lvlText w:val="•"/>
      <w:lvlJc w:val="left"/>
      <w:pPr>
        <w:ind w:left="2977" w:hanging="361"/>
      </w:pPr>
    </w:lvl>
    <w:lvl w:ilvl="3" w:tplc="FFFFFFFF">
      <w:start w:val="1"/>
      <w:numFmt w:val="bullet"/>
      <w:lvlText w:val="•"/>
      <w:lvlJc w:val="left"/>
      <w:pPr>
        <w:ind w:left="3865" w:hanging="361"/>
      </w:pPr>
    </w:lvl>
    <w:lvl w:ilvl="4" w:tplc="FFFFFFFF">
      <w:start w:val="1"/>
      <w:numFmt w:val="bullet"/>
      <w:lvlText w:val="•"/>
      <w:lvlJc w:val="left"/>
      <w:pPr>
        <w:ind w:left="4754" w:hanging="361"/>
      </w:pPr>
    </w:lvl>
    <w:lvl w:ilvl="5" w:tplc="FFFFFFFF">
      <w:start w:val="1"/>
      <w:numFmt w:val="bullet"/>
      <w:lvlText w:val="•"/>
      <w:lvlJc w:val="left"/>
      <w:pPr>
        <w:ind w:left="5643" w:hanging="361"/>
      </w:pPr>
    </w:lvl>
    <w:lvl w:ilvl="6" w:tplc="FFFFFFFF">
      <w:start w:val="1"/>
      <w:numFmt w:val="bullet"/>
      <w:lvlText w:val="•"/>
      <w:lvlJc w:val="left"/>
      <w:pPr>
        <w:ind w:left="6531" w:hanging="361"/>
      </w:pPr>
    </w:lvl>
    <w:lvl w:ilvl="7" w:tplc="FFFFFFFF">
      <w:start w:val="1"/>
      <w:numFmt w:val="bullet"/>
      <w:lvlText w:val="•"/>
      <w:lvlJc w:val="left"/>
      <w:pPr>
        <w:ind w:left="7420" w:hanging="361"/>
      </w:pPr>
    </w:lvl>
    <w:lvl w:ilvl="8" w:tplc="FFFFFFFF">
      <w:start w:val="1"/>
      <w:numFmt w:val="bullet"/>
      <w:lvlText w:val="•"/>
      <w:lvlJc w:val="left"/>
      <w:pPr>
        <w:ind w:left="8309" w:hanging="361"/>
      </w:pPr>
    </w:lvl>
  </w:abstractNum>
  <w:abstractNum w:abstractNumId="3" w15:restartNumberingAfterBreak="0">
    <w:nsid w:val="19AB5F1C"/>
    <w:multiLevelType w:val="hybridMultilevel"/>
    <w:tmpl w:val="E0025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E11B8"/>
    <w:multiLevelType w:val="hybridMultilevel"/>
    <w:tmpl w:val="CDF26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91F46"/>
    <w:multiLevelType w:val="hybridMultilevel"/>
    <w:tmpl w:val="C0FACE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3153A8"/>
    <w:multiLevelType w:val="hybridMultilevel"/>
    <w:tmpl w:val="59FA5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E02E1"/>
    <w:multiLevelType w:val="hybridMultilevel"/>
    <w:tmpl w:val="49D60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76EB9"/>
    <w:multiLevelType w:val="hybridMultilevel"/>
    <w:tmpl w:val="1BC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617166"/>
    <w:multiLevelType w:val="hybridMultilevel"/>
    <w:tmpl w:val="2858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5954F8"/>
    <w:multiLevelType w:val="hybridMultilevel"/>
    <w:tmpl w:val="F0F6AA8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6DF56A9"/>
    <w:multiLevelType w:val="hybridMultilevel"/>
    <w:tmpl w:val="C0FACE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3F1D9C"/>
    <w:multiLevelType w:val="hybridMultilevel"/>
    <w:tmpl w:val="C0FACE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9D49D9"/>
    <w:multiLevelType w:val="hybridMultilevel"/>
    <w:tmpl w:val="AE70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6"/>
    <w:rsid w:val="000B788F"/>
    <w:rsid w:val="00313DD9"/>
    <w:rsid w:val="00314F23"/>
    <w:rsid w:val="003529AC"/>
    <w:rsid w:val="0037223A"/>
    <w:rsid w:val="00375A41"/>
    <w:rsid w:val="003A59C1"/>
    <w:rsid w:val="00471117"/>
    <w:rsid w:val="004A246A"/>
    <w:rsid w:val="004F3D3B"/>
    <w:rsid w:val="005A1E79"/>
    <w:rsid w:val="006148B4"/>
    <w:rsid w:val="00626BDC"/>
    <w:rsid w:val="00670545"/>
    <w:rsid w:val="006A04DC"/>
    <w:rsid w:val="006E3039"/>
    <w:rsid w:val="007B29E1"/>
    <w:rsid w:val="007D66D9"/>
    <w:rsid w:val="00842288"/>
    <w:rsid w:val="008A1414"/>
    <w:rsid w:val="008B1028"/>
    <w:rsid w:val="009525EF"/>
    <w:rsid w:val="00A94FB6"/>
    <w:rsid w:val="00AA2873"/>
    <w:rsid w:val="00B47EB3"/>
    <w:rsid w:val="00C561D8"/>
    <w:rsid w:val="00CA534E"/>
    <w:rsid w:val="00D01482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CEBC"/>
  <w15:chartTrackingRefBased/>
  <w15:docId w15:val="{4EA245EB-DF3C-44C2-BBE3-4F3B28D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1117"/>
    <w:pPr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SimSun" w:eastAsia="SimSun" w:hAnsi="SimSun" w:cs="Times New Roman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94FB6"/>
  </w:style>
  <w:style w:type="paragraph" w:styleId="a5">
    <w:name w:val="footer"/>
    <w:basedOn w:val="a"/>
    <w:link w:val="a6"/>
    <w:uiPriority w:val="99"/>
    <w:unhideWhenUsed/>
    <w:rsid w:val="00A9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94FB6"/>
  </w:style>
  <w:style w:type="paragraph" w:styleId="a7">
    <w:name w:val="Body Text"/>
    <w:basedOn w:val="a"/>
    <w:link w:val="a8"/>
    <w:uiPriority w:val="1"/>
    <w:unhideWhenUsed/>
    <w:qFormat/>
    <w:rsid w:val="00A94FB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SimSun" w:cs="Times New Roman"/>
      <w:sz w:val="21"/>
      <w:szCs w:val="24"/>
    </w:rPr>
  </w:style>
  <w:style w:type="character" w:customStyle="1" w:styleId="a8">
    <w:name w:val="正文文本 字符"/>
    <w:basedOn w:val="a0"/>
    <w:link w:val="a7"/>
    <w:uiPriority w:val="1"/>
    <w:rsid w:val="00A94FB6"/>
    <w:rPr>
      <w:rFonts w:ascii="SimSun" w:eastAsia="SimSun" w:hAnsi="SimSun" w:cs="Times New Roman"/>
      <w:sz w:val="21"/>
      <w:szCs w:val="24"/>
    </w:rPr>
  </w:style>
  <w:style w:type="character" w:customStyle="1" w:styleId="11">
    <w:name w:val="正文文本 字符1"/>
    <w:basedOn w:val="a0"/>
    <w:uiPriority w:val="99"/>
    <w:unhideWhenUsed/>
    <w:locked/>
    <w:rsid w:val="00471117"/>
    <w:rPr>
      <w:rFonts w:ascii="SimSun"/>
      <w:sz w:val="22"/>
    </w:rPr>
  </w:style>
  <w:style w:type="character" w:styleId="a9">
    <w:name w:val="Hyperlink"/>
    <w:basedOn w:val="a0"/>
    <w:uiPriority w:val="99"/>
    <w:unhideWhenUsed/>
    <w:rsid w:val="00471117"/>
    <w:rPr>
      <w:color w:val="0563C1" w:themeColor="hyperlink"/>
      <w:u w:val="single"/>
    </w:rPr>
  </w:style>
  <w:style w:type="paragraph" w:styleId="aa">
    <w:name w:val="List Paragraph"/>
    <w:basedOn w:val="a"/>
    <w:uiPriority w:val="34"/>
    <w:unhideWhenUsed/>
    <w:qFormat/>
    <w:rsid w:val="00471117"/>
    <w:pPr>
      <w:spacing w:after="120" w:line="276" w:lineRule="auto"/>
      <w:ind w:left="720"/>
      <w:contextualSpacing/>
    </w:pPr>
    <w:rPr>
      <w:rFonts w:eastAsia="SimSun" w:cs="Times New Roman"/>
      <w:kern w:val="24"/>
      <w:sz w:val="23"/>
      <w:szCs w:val="20"/>
      <w:lang w:eastAsia="ja-JP"/>
    </w:rPr>
  </w:style>
  <w:style w:type="character" w:customStyle="1" w:styleId="10">
    <w:name w:val="标题 1 字符"/>
    <w:basedOn w:val="a0"/>
    <w:link w:val="1"/>
    <w:uiPriority w:val="1"/>
    <w:rsid w:val="00471117"/>
    <w:rPr>
      <w:rFonts w:ascii="SimSun" w:eastAsia="SimSun" w:hAnsi="SimSun" w:cs="Times New Roman"/>
      <w:b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31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52736.ht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6372.htm" TargetMode="External"/><Relationship Id="rId12" Type="http://schemas.openxmlformats.org/officeDocument/2006/relationships/hyperlink" Target="https://www.safchina.c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ghai@safabroa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s.berkeley.edu/divisions-and-un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5793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Jin</dc:creator>
  <cp:keywords/>
  <dc:description/>
  <cp:lastModifiedBy>Aimee Qiao</cp:lastModifiedBy>
  <cp:revision>14</cp:revision>
  <dcterms:created xsi:type="dcterms:W3CDTF">2020-07-01T02:59:00Z</dcterms:created>
  <dcterms:modified xsi:type="dcterms:W3CDTF">2020-07-02T12:36:00Z</dcterms:modified>
</cp:coreProperties>
</file>